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eastAsia="" w:cs="Times New Roman" w:eastAsiaTheme="minorEastAsia"/>
          <w:bCs/>
          <w:sz w:val="28"/>
          <w:szCs w:val="28"/>
          <w:lang w:eastAsia="ru-RU"/>
        </w:rPr>
      </w:pPr>
      <w:r>
        <w:rPr>
          <w:rFonts w:eastAsia="" w:cs="Times New Roman" w:ascii="Times New Roman" w:hAnsi="Times New Roman" w:eastAsiaTheme="minorEastAsia"/>
          <w:bCs/>
          <w:sz w:val="28"/>
          <w:szCs w:val="28"/>
          <w:lang w:eastAsia="ru-RU"/>
        </w:rPr>
        <w:t>Приложение 3</w:t>
        <w:br/>
        <w:t>к государственной программе</w:t>
        <w:br/>
        <w:t>"Развитие топливно-энергетического</w:t>
        <w:br/>
        <w:t>комплекса и жилищно-коммунального</w:t>
        <w:br/>
        <w:t>хозяйства Брянской области"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sz w:val="28"/>
          <w:szCs w:val="28"/>
          <w:lang w:eastAsia="ru-RU"/>
        </w:rPr>
      </w:pPr>
      <w:r>
        <w:rPr>
          <w:rFonts w:eastAsia="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Arial" w:hAnsi="Arial" w:cs="Arial"/>
          <w:sz w:val="2"/>
          <w:szCs w:val="2"/>
        </w:rPr>
      </w:pPr>
      <w:r>
        <w:rPr>
          <w:rFonts w:cs="Arial" w:ascii="Arial" w:hAnsi="Arial"/>
          <w:sz w:val="2"/>
          <w:szCs w:val="2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08" w:after="108"/>
        <w:jc w:val="center"/>
        <w:outlineLvl w:val="0"/>
        <w:rPr>
          <w:b/>
          <w:b/>
          <w:bCs/>
        </w:rPr>
      </w:pPr>
      <w:r>
        <w:rPr>
          <w:rFonts w:eastAsia="" w:cs="Times New Roman" w:ascii="Times New Roman" w:hAnsi="Times New Roman" w:eastAsiaTheme="minorEastAsia"/>
          <w:b/>
          <w:bCs/>
          <w:color w:val="000000" w:themeColor="text1"/>
          <w:sz w:val="28"/>
          <w:szCs w:val="24"/>
          <w:lang w:eastAsia="ru-RU"/>
        </w:rPr>
        <w:t>Методика расчета показателей</w:t>
      </w:r>
    </w:p>
    <w:p>
      <w:pPr>
        <w:pStyle w:val="ListParagraph"/>
        <w:widowControl w:val="false"/>
        <w:numPr>
          <w:ilvl w:val="0"/>
          <w:numId w:val="0"/>
        </w:numPr>
        <w:spacing w:lineRule="auto" w:line="240" w:before="108" w:after="108"/>
        <w:ind w:left="0" w:firstLine="567"/>
        <w:contextualSpacing/>
        <w:outlineLvl w:val="0"/>
        <w:rPr>
          <w:rFonts w:ascii="Times New Roman" w:hAnsi="Times New Roman" w:eastAsia="" w:cs="Times New Roman" w:eastAsiaTheme="minorEastAsia"/>
          <w:bCs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bCs/>
          <w:color w:val="000000" w:themeColor="text1"/>
          <w:sz w:val="28"/>
          <w:szCs w:val="24"/>
          <w:lang w:eastAsia="ru-RU"/>
        </w:rPr>
        <w:t xml:space="preserve">          </w:t>
      </w:r>
      <w:r>
        <w:rPr>
          <w:rFonts w:eastAsia="" w:cs="Times New Roman" w:ascii="Times New Roman" w:hAnsi="Times New Roman" w:eastAsiaTheme="minorEastAsia"/>
          <w:bCs/>
          <w:color w:val="000000" w:themeColor="text1"/>
          <w:sz w:val="28"/>
          <w:szCs w:val="24"/>
          <w:lang w:eastAsia="ru-RU"/>
        </w:rPr>
        <w:t>Показатели (индикаторы) государственной программы</w:t>
      </w:r>
    </w:p>
    <w:p>
      <w:pPr>
        <w:pStyle w:val="ListParagraph"/>
        <w:widowControl w:val="false"/>
        <w:numPr>
          <w:ilvl w:val="0"/>
          <w:numId w:val="0"/>
        </w:numPr>
        <w:spacing w:lineRule="auto" w:line="240" w:before="108" w:after="108"/>
        <w:ind w:left="567" w:hanging="0"/>
        <w:contextualSpacing/>
        <w:outlineLvl w:val="0"/>
        <w:rPr>
          <w:rFonts w:ascii="Times New Roman" w:hAnsi="Times New Roman" w:eastAsia="" w:cs="Times New Roman" w:eastAsiaTheme="minorEastAsia"/>
          <w:bCs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bCs/>
          <w:color w:val="000000" w:themeColor="text1"/>
          <w:sz w:val="28"/>
          <w:szCs w:val="24"/>
          <w:lang w:eastAsia="ru-RU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Показатель "Доля площади жилищного фонда, обеспеченного всеми видами благоустройства, в общей площади жилищного фонда" определяется на основании данных статистического бюллетеня "Жилищный фонд области (по городам и районам), по формуле: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Dблаг =(Sблаг/S)*100, где:</w:t>
      </w:r>
    </w:p>
    <w:p>
      <w:pPr>
        <w:pStyle w:val="Normal"/>
        <w:widowControl w:val="false"/>
        <w:spacing w:lineRule="auto" w:line="240" w:before="0" w:after="0"/>
        <w:ind w:firstLine="567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Dблаг - удельный вес общей площади жилищного фонда оборудованного всеми видами благоустройства, %;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Sблаг - общая площадь жилых помещений, оборудованных всеми видами благоустройства;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S - общая площадь жилых помещений.</w:t>
      </w:r>
    </w:p>
    <w:p>
      <w:pPr>
        <w:pStyle w:val="1"/>
        <w:widowControl w:val="false"/>
        <w:numPr>
          <w:ilvl w:val="0"/>
          <w:numId w:val="0"/>
        </w:numPr>
        <w:spacing w:lineRule="auto" w:line="240" w:before="108" w:after="108"/>
        <w:ind w:hanging="0"/>
        <w:jc w:val="center"/>
        <w:outlineLvl w:val="0"/>
        <w:rPr>
          <w:color w:val="auto"/>
          <w:szCs w:val="28"/>
        </w:rPr>
      </w:pPr>
      <w:r>
        <w:rPr>
          <w:rFonts w:eastAsia="" w:cs="Times New Roman" w:eastAsiaTheme="minorEastAsia" w:ascii="Times New Roman" w:hAnsi="Times New Roman"/>
          <w:b w:val="false"/>
          <w:bCs w:val="false"/>
          <w:color w:val="000000" w:themeColor="text1"/>
          <w:sz w:val="28"/>
          <w:szCs w:val="24"/>
          <w:lang w:eastAsia="ru-RU"/>
        </w:rPr>
      </w:r>
    </w:p>
    <w:p>
      <w:pPr>
        <w:pStyle w:val="1"/>
        <w:widowControl w:val="false"/>
        <w:numPr>
          <w:ilvl w:val="0"/>
          <w:numId w:val="0"/>
        </w:numPr>
        <w:spacing w:lineRule="auto" w:line="240" w:before="108" w:after="108"/>
        <w:ind w:hanging="0"/>
        <w:jc w:val="center"/>
        <w:outlineLvl w:val="0"/>
        <w:rPr>
          <w:rFonts w:ascii="Times New Roman" w:hAnsi="Times New Roman" w:eastAsia="" w:cs="Times New Roman" w:eastAsiaTheme="minorEastAsia"/>
          <w:b w:val="false"/>
          <w:b w:val="false"/>
          <w:bCs w:val="false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b w:val="false"/>
          <w:bCs w:val="false"/>
          <w:color w:val="auto" w:themeColor="text1"/>
          <w:sz w:val="28"/>
          <w:szCs w:val="28"/>
          <w:lang w:eastAsia="ru-RU"/>
        </w:rPr>
        <w:t>Показатели (индикаторы), характеризующие реализацию основных мероприятий (проектов) государственной программы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08" w:after="108"/>
        <w:jc w:val="center"/>
        <w:outlineLvl w:val="0"/>
        <w:rPr>
          <w:color w:val="auto"/>
          <w:szCs w:val="28"/>
        </w:rPr>
      </w:pPr>
      <w:r>
        <w:rPr>
          <w:rFonts w:eastAsia="" w:cs="Times New Roman" w:eastAsiaTheme="minorEastAsia" w:ascii="Times New Roman" w:hAnsi="Times New Roman"/>
          <w:b w:val="false"/>
          <w:bCs w:val="false"/>
          <w:color w:val="000000" w:themeColor="text1"/>
          <w:sz w:val="28"/>
          <w:szCs w:val="24"/>
          <w:lang w:eastAsia="ru-RU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bookmarkStart w:id="0" w:name="sub_30101"/>
      <w:bookmarkEnd w:id="0"/>
      <w:r>
        <w:rPr>
          <w:rFonts w:cs="Times New Roman" w:ascii="Times New Roman" w:hAnsi="Times New Roman"/>
          <w:color w:val="000000"/>
          <w:sz w:val="28"/>
          <w:szCs w:val="28"/>
        </w:rPr>
        <w:t>Региональный проект "Обеспечение устойчивого сокращения непригодного для проживания жилищного фонда (Брянская область)"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Сведения о показателе "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Количество граждан, расселенных из аварийного жилищного фонда, тыс.человек</w:t>
      </w: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" размещаются в общероссийской электронной системе "Реформа ЖКХ".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Сведения о показателе "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Количество квадратных метров, расселенного аварийного жилищного фонда</w:t>
      </w: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" размещаются в общероссийской электронной системе "Реформа ЖКХ".</w:t>
      </w:r>
    </w:p>
    <w:p>
      <w:pPr>
        <w:pStyle w:val="ListParagraph"/>
        <w:widowControl w:val="false"/>
        <w:spacing w:lineRule="auto" w:line="240" w:before="0" w:after="0"/>
        <w:ind w:left="567" w:hanging="0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Региональный проект "Чистая вода (Брянская область)"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Показатель "Доля городского населения Брянской области, обеспеченного качественной питьевой водой из систем централизованного водоснабжения" рассчитывается в соответствии с данными Управления Федеральной службы по надзору в сфере защиты прав потребителей и благополучия человека по Брянской области.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3.2. Показатель «Доля населения Брянской области, обеспеченного качественной питьевой водой из систем централизованного водоснабжения»  рассчитан для Брянской области Минстроем России в </w:t>
      </w:r>
      <w:hyperlink r:id="rId2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Приложении 2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к проекту паспорта федерального проекта "Чистая вода", фактические значения будут определяться на основании сведений, представленных Управлением Федеральной службы по надзору в сфере защиты прав потребителей и благополучия человека по Брянской области.</w:t>
      </w:r>
    </w:p>
    <w:p>
      <w:pPr>
        <w:pStyle w:val="ListParagraph"/>
        <w:widowControl w:val="false"/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3.3. </w:t>
      </w:r>
      <w:r>
        <w:rPr>
          <w:rFonts w:ascii="Times New Roman" w:hAnsi="Times New Roman"/>
          <w:color w:val="000000"/>
          <w:sz w:val="28"/>
          <w:szCs w:val="28"/>
        </w:rPr>
        <w:t xml:space="preserve">Показатель «Количество построенных и реконструированных (модернизированных) объектов питьевого водоснабжения и водоподготовки, предусмотренных региональными программами» рассчитывается как сумма всех построенных и реконструированных (модернизированных) объектов питьевого водоснабжения и водоподготовки, предусмотренных региональными программами,  накопительным итогом начиная с 2021 года на основании фактических данных, представленных в департамент ТЭК и ЖКХ Брянской области органами местного самоуправления. </w:t>
      </w:r>
    </w:p>
    <w:p>
      <w:pPr>
        <w:pStyle w:val="ListParagraph"/>
        <w:widowControl w:val="false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4. Обеспечение эффективной деятельности органов государственной власти в сфере топливно-энергетического комплекса и жилищно-коммунального хозяйства Брянской области</w:t>
      </w:r>
    </w:p>
    <w:p>
      <w:pPr>
        <w:pStyle w:val="ListParagraph"/>
        <w:widowControl w:val="false"/>
        <w:spacing w:lineRule="auto" w:line="240" w:before="0" w:after="0"/>
        <w:ind w:left="1069" w:hanging="0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ListParagraph"/>
        <w:widowControl w:val="false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4.1. Показатель "Ввод мощностей в результате технического перевооружения, реконструкции, нового строительства объектов электросетевой инфраструктуры" определяется на основании отчетов об исполнении инвестиционных программ субъектов электроэнергетики.</w:t>
      </w:r>
    </w:p>
    <w:p>
      <w:pPr>
        <w:pStyle w:val="ListParagraph"/>
        <w:widowControl w:val="false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4.2. Показатель "Доля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жилья, либо жилищных кооперативов" определяется на основе формы статистического наблюдения </w:t>
      </w:r>
      <w:hyperlink r:id="rId3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N 22-ЖКХ (реформа)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"Сведения о структурных преобразованиях и организационных мероприятиях в сфере жилищно-коммунального хозяйства", утвержденной </w:t>
      </w:r>
      <w:hyperlink r:id="rId4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приказом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Федеральной службы государственной статистики от 10 июля 2015 года N 305 "Об утверждении статистического инструментария для организации Минстроем России федерального статистического наблюдения за ходом реформы в жилищно-коммунальной сфере" по формуле:</w:t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Dтсж = Ктсж / Кобщ х 100,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Dтсж - доля многоквартирных домов, в которых собственники помещений выбрали и реализуют способ управления многоквартирными домами посредством товариществ собственников жилья, либо жилищных кооперативов, или иных специализированных потребительских кооперативов;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Ктсж - число многоквартирных домов, в которых собственники помещений выбрали и реализуют способ управления многоквартирными домами посредством товариществ собственников жилья, либо жилищных кооперативов, или иных специализированных потребительских кооперативов;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Кобщ - число многоквартирных домов, в которых собственники помещений должны выбрать способ управления домами.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bookmarkStart w:id="1" w:name="sub_30101"/>
      <w:bookmarkEnd w:id="1"/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4.3. Показатель "Предельное количество этапов (процедур), необходимых для технологического присоединения" определяется следующим образом.</w:t>
      </w:r>
      <w:bookmarkStart w:id="2" w:name="sub_30102"/>
      <w:bookmarkEnd w:id="2"/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Технологическое присоединение представляет собой комплексную процедуру, этапами которой ранее являлись: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bookmarkStart w:id="3" w:name="sub_301021"/>
      <w:bookmarkEnd w:id="3"/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1) подача заявки на технологическое присоединение;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bookmarkStart w:id="4" w:name="sub_301021"/>
      <w:bookmarkStart w:id="5" w:name="sub_301022"/>
      <w:bookmarkEnd w:id="4"/>
      <w:bookmarkEnd w:id="5"/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2) заключение договора на технологическое присоединение;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bookmarkStart w:id="6" w:name="sub_301022"/>
      <w:bookmarkStart w:id="7" w:name="sub_301023"/>
      <w:bookmarkEnd w:id="6"/>
      <w:bookmarkEnd w:id="7"/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3) выполнение сторонами договора мероприятий, предусмотренных договором;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bookmarkStart w:id="8" w:name="sub_301023"/>
      <w:bookmarkStart w:id="9" w:name="sub_301024"/>
      <w:bookmarkEnd w:id="8"/>
      <w:bookmarkEnd w:id="9"/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4) получение разрешения Ростехнадзора на допуск в эксплуатацию объектов заявителя;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bookmarkStart w:id="10" w:name="sub_301024"/>
      <w:bookmarkStart w:id="11" w:name="sub_301025"/>
      <w:bookmarkEnd w:id="10"/>
      <w:bookmarkEnd w:id="11"/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5) осуществление сетевой организацией фактического присоединения объектов заявителя к электрическим сетям;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bookmarkStart w:id="12" w:name="sub_301025"/>
      <w:bookmarkStart w:id="13" w:name="sub_301026"/>
      <w:bookmarkEnd w:id="12"/>
      <w:bookmarkEnd w:id="13"/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6) фактический прием (подача) напряжения и мощности (фиксация коммутационного аппарата в положении "включено");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bookmarkStart w:id="14" w:name="sub_301026"/>
      <w:bookmarkEnd w:id="14"/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7) составление акта о технологическом присоединении и акта разграничения балансовой принадлежности и эксплуатационной ответственности.</w:t>
      </w:r>
      <w:bookmarkStart w:id="15" w:name="sub_301027"/>
      <w:bookmarkEnd w:id="15"/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Количество этапов, необходимых для технологического присоединения, определяется исходя из перечня процедур, регламентированных следующими нормативными правовыми актами: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- </w:t>
      </w:r>
      <w:hyperlink r:id="rId5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Федеральным законом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от 26 марта 2003 года N 35-ФЗ "Об электроэнергетике";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- </w:t>
      </w:r>
      <w:hyperlink r:id="rId6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Правилами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 к электрическим сетям, утвержденными </w:t>
      </w:r>
      <w:hyperlink r:id="rId7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постановлением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Правительства Российской Федерации от 27.12.2004 N 861 (далее - Правила технологического присоединения);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- Постановлениями Правительства Российской Федерации </w:t>
      </w:r>
      <w:hyperlink r:id="rId8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от 22 октября 2012 года N 1075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"О ценообразовании в сфере теплоснабжения" и </w:t>
      </w:r>
      <w:hyperlink r:id="rId9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от 29 декабря 2011 года N 1178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"О ценообразовании в области регулируемых цен (тарифов) в электроэнергетике";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- </w:t>
      </w:r>
      <w:hyperlink r:id="rId10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Методическими указаниями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по определению размера платы за технологическое присоединение к электрическим сетям, утвержденными </w:t>
      </w:r>
      <w:hyperlink r:id="rId11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приказом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Федеральной антимонопольной службы от 29.08.2017 года N 1135/17;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- </w:t>
      </w:r>
      <w:hyperlink r:id="rId12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Стандартами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раскрытия информации субъектами оптового и розничных рынков электрической энергии, утвержденными </w:t>
      </w:r>
      <w:hyperlink r:id="rId13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постановлением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Правительства Российской Федерации от 21.01.2004 N 24.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В соответствии с изменениями, предусмотренными вышеперечисленными нормативно-правовыми актами, с 2017 года технологическое присоединение представляет собой комплексную процедуру, состоящую из четырех этапов, а именно: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bookmarkStart w:id="16" w:name="sub_300121"/>
      <w:bookmarkEnd w:id="16"/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1) подача заявки на технологическое присоединение;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bookmarkStart w:id="17" w:name="sub_300121"/>
      <w:bookmarkStart w:id="18" w:name="sub_300122"/>
      <w:bookmarkEnd w:id="17"/>
      <w:bookmarkEnd w:id="18"/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2) заключение договора на технологическое присоединение;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bookmarkStart w:id="19" w:name="sub_300122"/>
      <w:bookmarkStart w:id="20" w:name="sub_300123"/>
      <w:bookmarkEnd w:id="19"/>
      <w:bookmarkEnd w:id="20"/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3) выполнение сторонами договора мероприятий, предусмотренных договором;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bookmarkStart w:id="21" w:name="sub_300123"/>
      <w:bookmarkStart w:id="22" w:name="sub_300124"/>
      <w:bookmarkEnd w:id="21"/>
      <w:bookmarkEnd w:id="22"/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4) подписание актов о технологическом присоединении.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bookmarkStart w:id="23" w:name="sub_300124"/>
      <w:bookmarkStart w:id="24" w:name="sub_30103"/>
      <w:bookmarkEnd w:id="23"/>
      <w:bookmarkEnd w:id="24"/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4.4. Показатель "Предельный срок подключения потребителей (до 150 кВт) с даты поступления заявки на технологическое присоединение до даты подписания акта о технологическом присоединении" определяется как среднее арифметическое сроков подключения по всем заявкам на осуществление технологического присоединения, поступившим в сетевую организацию за отчетный период.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  <w:bookmarkStart w:id="25" w:name="sub_30103"/>
      <w:bookmarkStart w:id="26" w:name="sub_30104"/>
      <w:bookmarkStart w:id="27" w:name="sub_30103"/>
      <w:bookmarkStart w:id="28" w:name="sub_30104"/>
      <w:bookmarkEnd w:id="27"/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5. Обеспечение проведения мероприятий, направленных на реформирование жилищно-коммунального хозяйства с целью создания благоприятных условий проживания граждан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bookmarkStart w:id="29" w:name="sub_30104"/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5.1. </w:t>
      </w:r>
      <w:bookmarkEnd w:id="29"/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Показатель "Доля отремонтированных объектов коммунальной инфраструктуры в общем объеме объектов коммунальной инфраструктуры, запланированных к ремонту за счет средств субсидии из областного бюджета в текущем финансовом году" определяется по формуле:</w:t>
      </w:r>
      <w:bookmarkStart w:id="30" w:name="sub_30109"/>
      <w:bookmarkEnd w:id="30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 = Котр./Кплан * 100,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 - доля отремонтированных объектов коммунальной инфраструктуры в общем объеме объектов коммунальной инфраструктуры, запланированных к ремонту за счет средств субсидии в текущем финансовом году;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Котр. - количество отремонтированных объектов коммунальной инфраструктуры;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Кплан - общее количество запланированных к ремонту объектов коммунальной инфраструктуры за счет средств субсидии в текущем финансовом году.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5.2. Показатель "Доля площади отремонтированных многоквартирных домов в площади многоквартирных домов, нуждающихся в ремонте" определяется на основании данных </w:t>
      </w:r>
      <w:hyperlink r:id="rId14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региональной программы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"Проведение капитального ремонта общего имущества многоквартирных домов на территории Брянской области (2014 - 2043 годы) и краткосрочных планов её реализации в соответствующем году по формуле: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Woтp. = Nотр. / Nобщ. х 100 (%),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Woтp. - доля площади отремонтированных многоквартирных домов в площади многоквартирных домов, нуждающихся в ремонте, %;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Nотр. - площадь многоквартирных домов, которые планируется отремонтировать в соответствующем году в соответствии с краткосрочным планом реализации </w:t>
      </w:r>
      <w:hyperlink r:id="rId15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региональной программы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"Проведение капитального ремонта общего имущества многоквартирных домов на территории Брянской области (2014 - 2043 годы), тыс. кв. м.;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Nобщ. - площадь многоквартирных домов, нуждающихся в ремонте, в соответствии с </w:t>
      </w:r>
      <w:hyperlink r:id="rId16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региональной программой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"Проведение капитального ремонта общего имущества многоквартирных домов на территории Брянской области (2014 - 2043 годы), тыс. кв. м.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5.3. Показатель "Доля приобретенной специализированной техники для предприятий ЖКХ к общему количеству специализированной техники, запланированной к приобретению для предприятий ЖКХ за счет средств субсидии из областного бюджета в текущем финансовом году" определяется по формуле:</w:t>
      </w:r>
      <w:bookmarkStart w:id="31" w:name="sub_30110"/>
      <w:bookmarkEnd w:id="31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 = Кпр./Кплан * 100,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 - доля приобретенной коммунальной техники к общему количеству коммунальной техники, запланированной к приобретению за счет средств субсидии в текущем финансовом году;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Кпр. - количество приобретенной коммунальной техники;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Кплан - общее количество коммунальной техники, запланированной к приобретению за счет средств субсидии в текущем финансовом году.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5.4. Показатель "Снижение процента потерь тепловой энергии по объектам бюджетных инвестиций ГУП "Брянсккоммунэнерго", включенным в план реализации программы" определяется по следующей формуле: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Р= 100 - Пс / Пп * 100,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Р - показатель, отражающий снижение потерь тепловой энергии по объектам бюджетных инвестиций ГУП "Брянсккоммунэнерго", включенным в план реализации программы;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Пс - показатель, отражающий потери тепловой энергии по объектам бюджетных инвестиций ГУП "Брянсккоммунэнерго", включенным в план реализации программы за соответствующий период;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Пп - показатель, отражающий потери тепловой энергии по объектам бюджетных инвестиций ГУП "Брянсккоммунэнерго", включенным в план реализации программы за предыдущий период.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5.5. Показатель "Снижение удельного расхода топлива на выработку тепловой энергии по объектам бюджетных инвестиций ГУП "Брянсккоммунэнерго", включенным в план реализации программы" определяется по следующей формуле: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N= 100 - Yc/Yn * 100,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N - показатель, отражающий снижение удельного расхода топлива на выработку тепловой энергии по объектам бюджетных инвестиций ГУП "Брянсккоммунэнерго", включенным в план реализации программы;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Yc - показатель, отражающий удельный расход топлива за соответствующий период по объектам бюджетных инвестиций ГУП "Брянсккоммунэнерго", включенным в план реализации программы;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Yn - показатель, отражающий удельный расход топлива за предыдущий период по объектам бюджетных инвестиций ГУП "Брянсккоммунэнерго", включенным в план реализации программы.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5.6. Показатель "Улучшение жилищных условий граждан на основе реализации </w:t>
      </w:r>
      <w:hyperlink r:id="rId17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региональной программы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"Проведение капитального ремонта общего имущества в многоквартирных домах на территории Брянской области" (2014 - 2043 годы), площадь отремонтированных многоквартирных домов" определяется как отношение планового объема средств из всех источников на финансирование мероприятий по проведению капитального ремонта многоквартирных домов к средней стоимости проведения капитального ремонта в расчете на один квадратный метр общей площади помещений в многоквартирных домах, по формуле:</w:t>
      </w:r>
      <w:bookmarkStart w:id="32" w:name="sub_30112"/>
      <w:bookmarkEnd w:id="32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/>
        <w:drawing>
          <wp:inline distT="0" distB="0" distL="0" distR="0">
            <wp:extent cx="1847850" cy="52387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Sкап. рем. - общая площадь отремонтированных многоквартирных домов, тыс. кв. м.;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Vкап.рем. - плановый объем средств из всех источников на финансирование мероприятий по проведению капитального ремонта многоквартирных домов, рублей;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С - средняя стоимость проведения капитального ремонта в расчете на один квадратный метр общей площади помещений в многоквартирных домах, рублей.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Сведения о планируемой и фактически отремонтированной общей площади многоквартирных домов размещаются в общероссийской электронной системе "Реформа ЖКХ".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6. Обеспечение населения Брянской области питьевой водой из систем централизованного водоснабжения</w:t>
      </w:r>
    </w:p>
    <w:p>
      <w:pPr>
        <w:pStyle w:val="ListParagraph"/>
        <w:widowControl w:val="false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  </w:t>
      </w:r>
    </w:p>
    <w:p>
      <w:pPr>
        <w:pStyle w:val="ListParagraph"/>
        <w:widowControl w:val="false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6.1. Показатель "Доля населения, имеющего доступ к централизованным сетям водоснабжения" определяется на основании данных статистического бюллетеня "Сведения о работе жилищно-коммунальных организаций в условиях реформы по Брянской области" и статистического сборника "Жилищно-коммунальное хозяйство Брянской области" по следующей формуле:</w:t>
      </w:r>
    </w:p>
    <w:p>
      <w:pPr>
        <w:pStyle w:val="ListParagraph"/>
        <w:widowControl w:val="false"/>
        <w:spacing w:lineRule="auto" w:line="240" w:before="0" w:after="0"/>
        <w:ind w:left="1069" w:hanging="0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240" w:before="0" w:after="0"/>
        <w:contextualSpacing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 = Чцентр. / Ч об. * 100, где:</w:t>
      </w:r>
    </w:p>
    <w:p>
      <w:pPr>
        <w:pStyle w:val="ListParagraph"/>
        <w:widowControl w:val="false"/>
        <w:spacing w:lineRule="auto" w:line="240" w:before="0" w:after="0"/>
        <w:ind w:left="1069" w:hanging="0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ListParagraph"/>
        <w:widowControl w:val="false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 - доля населения, имеющего доступ к централизованным сетям водоснабжения, %;</w:t>
      </w:r>
    </w:p>
    <w:p>
      <w:pPr>
        <w:pStyle w:val="ListParagraph"/>
        <w:widowControl w:val="false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Чцентр.- численность населения, имеющего доступ к централизованным сетям водоснабжения, чел.</w:t>
      </w:r>
    </w:p>
    <w:p>
      <w:pPr>
        <w:pStyle w:val="ListParagraph"/>
        <w:widowControl w:val="false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Ч об. - численность населения Брянской области.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6.2. Показатель «Доля построенных (реконструированных) объектов систем водоснабжения для населенных пунктов Брянской области в общем объеме запланированных к строительству (реконструкции) объектов систем водоснабжения для населенных пунктов Брянской области за счет средств субсидии, выделяемой  в текущем финансовом году» определяется по следующей формуле: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 = V / Vобщ 100, 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 - Доля построенных (реконструированных) объектов систем водоснабжения для населенных пунктов Брянской области в общем объеме запланированных к строительству (реконструкции) объектов систем водоснабжения для населенных пунктов Брянской области за счет средств субсидии, выделяемой  в текущем финансовом году, %;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V – фактически  израсходовано на строительство (реконструкцию) объектов систем водоснабжения для населенных пунктов Брянской области за счет средств субсидии, выделяемой  в текущем финансовом году, рублей;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</w:t>
      </w: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V общ - общий объем средств, запланированных на осуществление строительства (реконструкции) объектов систем водоснабжения для населенных пунктов Брянской области за счет средств субсидии, выделяемой  в текущем финансовом году, рублей.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7. </w:t>
      </w:r>
      <w:r>
        <w:rPr>
          <w:rFonts w:cs="Times New Roman" w:ascii="Times New Roman" w:hAnsi="Times New Roman"/>
          <w:color w:val="000000"/>
          <w:sz w:val="28"/>
          <w:szCs w:val="28"/>
        </w:rPr>
        <w:t>Обеспечение эффективной деятельности органов государственной власти в сфере государственного надзора за выполнением жилищного законодательства и лицензионного контроля при осуществлении деятельности по управлению многоквартирными домами на территории Брянской области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7.1. </w:t>
      </w: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Доля выявленных при проведении проверок правонарушений, связанных с неисполнением предписаний: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Drp = Pfn / Po * 100,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Dpn - доля выявленных при проведении проверок правонарушений, связанных с неисполнением предписаний %;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Pfn - фактическое количество неисполненных в отчетном периоде предписаний из числа тех, которые должны были быть исполнены в отчетном периоде, ед. (данные ГЖИ Брянской области по </w:t>
      </w:r>
      <w:hyperlink r:id="rId19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форме N 1-госжилинспекция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);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Ро - общее количество предписаний по выявленным нарушениям, которые должны были быть исполнены в отчетном периоде, ед. (данные ГЖИ Брянской области по </w:t>
      </w:r>
      <w:hyperlink r:id="rId20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форме N 1-госжилинспекция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).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7.2. Доля исполнения в отчетном периоде предписаний об устранении нарушений от общего количества предписаний, которые должны быть исполнены в отчетном периоде: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Dp = Pf / Po * 100,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Dp - доля исполнения в отчетном периоде предписаний об устранении нарушений от общего количества предписаний, которые должны быть исполнены в отчетном периоде, %;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Pf - фактическое количество исполненных в отчетном периоде предписаний из числа тех, которые должны были быть исполнены в отчетном периоде, ед. (данные госжилинспекции по </w:t>
      </w:r>
      <w:hyperlink r:id="rId21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форме N 1-госжилинспекция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);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Ро - общее количество предписаний по выявленным нарушениям, которые должны были быть исполнены в отчетном периоде, ед. (данные ГЖИ Брянской области по </w:t>
      </w:r>
      <w:hyperlink r:id="rId22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форме N 1-госжилинспекция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).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7.3. Доля площади обследованных жилых домов в результате проведения плановых, внеплановых проверок к общей площади жилищного фонда области: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Ds = Sf / So * 100,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Ds - доля площади обследованных жилых домов в результате проведения плановых, внеплановых проверок к общей площади жилищного фонда области, %;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Sf - фактическая площадь обследованных жилых домов в результате проведения плановых, внеплановых проверок за отчетный период, тыс. кв. м (данные ГЖИ Брянской области по </w:t>
      </w:r>
      <w:hyperlink r:id="rId23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форме N 1-госжилинспекция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):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So - общая площадь жилищного фонда области, тыс. кв. м, (данные Росстата).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7.4. Доля проверок, по итогам которых выявлены правонарушения: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Drp = Prp / P * 100,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Dpr - доля проверок, по которым выявлены правонарушения;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Ррг - количество проверок при проведении которых в отчетном периоде были выявлены правонарушения (данные ГЖИ Брянской области по </w:t>
      </w:r>
      <w:hyperlink r:id="rId24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форме N 1-контроль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"Сведения об осуществлении государственного контроля (надзора) и муниципального контроля");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Р - общее количество проверок в отчетном периоде (данные ГЖИ Брянской области по </w:t>
      </w:r>
      <w:hyperlink r:id="rId25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форме N 1-контроль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"Сведения об осуществлении государственного контроля (надзора) и муниципального контроля").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7.5. Доля проверок, результаты которых признаны недействительными, от общего числа проведенных проверок: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Dn = Pn / P * 100,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Dn - доля проверок, результаты которых признаны недействительными, от общего числа проведенных проверок, %;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Рп - количество проверок в отчетном периоде, признанных недействительными (данные ГЖИ Брянской области по </w:t>
      </w:r>
      <w:hyperlink r:id="rId26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форме N 1-контроль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"Сведения об осуществлении государственного контроля (надзора) и муниципального контроля");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Р - общее количество проверок в отчетном периоде (данные ГЖИ Брянской области по </w:t>
      </w:r>
      <w:hyperlink r:id="rId27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форме N 1-контроль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 "Сведения об осуществлении государственного контроля (надзора) и муниципального контроля").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Расчетные данные для показателей (индикаторов) государственной жилищной инспекции публикуются на официальном сайте государственной жилищной инспекции Брянской области: </w:t>
      </w:r>
      <w:hyperlink r:id="rId28">
        <w:r>
          <w:rPr>
            <w:rFonts w:eastAsia="" w:cs="Times New Roman" w:ascii="Times New Roman" w:hAnsi="Times New Roman" w:eastAsiaTheme="minorEastAsia"/>
            <w:color w:val="000000" w:themeColor="text1"/>
            <w:sz w:val="28"/>
            <w:szCs w:val="24"/>
            <w:lang w:eastAsia="ru-RU"/>
          </w:rPr>
          <w:t>http://gzhi32.ru</w:t>
        </w:r>
      </w:hyperlink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8. </w:t>
      </w:r>
      <w:r>
        <w:rPr>
          <w:rFonts w:cs="Times New Roman" w:ascii="Times New Roman" w:hAnsi="Times New Roman"/>
          <w:color w:val="000000"/>
          <w:sz w:val="28"/>
          <w:szCs w:val="28"/>
        </w:rPr>
        <w:t>Создание нормативных, правовых, организационных и экономических условий энергосбережения, использования энергосберегающих ресурсов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8.1. Показатель "Оснащение приборами учета энергоресурсов государственных (муниципальных) организаций" определяется по формуле: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A=Na / Nобщ. * 100,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А - показатель, характеризующий оснащенность приборами учета энергоресурсов государственных (муниципальных) организаций;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Na - количество приборов учета энергоресурсов, установленных в государственных (муниципальных) организациях;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Nобщ. - общее количество приборов учета, подлежащих установке в государственных (муниципальных) организациях.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9. </w:t>
      </w:r>
      <w:r>
        <w:rPr>
          <w:rFonts w:cs="Times New Roman" w:ascii="Times New Roman" w:hAnsi="Times New Roman"/>
          <w:color w:val="000000"/>
          <w:sz w:val="28"/>
          <w:szCs w:val="28"/>
        </w:rPr>
        <w:t>Строительство и реконструкция объектов очистки сточных вод в населенных пунктах Брянской области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9.1. </w:t>
      </w: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Доля построенных (реконструируемых) объектов очистных сооружений в общем объеме запланированных к строительству (реконструкции) объектов очистных сооружений (за счет средств субсидии, выделяемой в текущем финансовом году), определяется по формуле: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 = Кпостр(рек) / Кплан * 100,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D - доля построенных (реконструируемых) объектов очистных сооружений в общем объеме запланированных к строительству (реконструкции) объектов очистных сооружений (за счет средств субсидии, выделяемой в текущем финансовом году);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Кпостр. (рек) - количество построенных (реконструируемых) объектов очистных сооружений;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Кплан - общее количество запланированных к строительству (реконструкции) объектов очистных сооружений (за счет средств субсидии, выделяемой в текущем финансовом году).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 xml:space="preserve">10. </w:t>
      </w:r>
      <w:r>
        <w:rPr>
          <w:rFonts w:cs="Times New Roman" w:ascii="Times New Roman" w:hAnsi="Times New Roman"/>
          <w:color w:val="000000"/>
          <w:sz w:val="28"/>
          <w:szCs w:val="28"/>
        </w:rPr>
        <w:t>Обеспечение проведения мероприятий по стабилизации финансового состояния ГУП "Брянсккоммунэнерго" с целью бесперебойного снабжения населения услугами в сфере тепло- и водоснабжения населения с привлечением внебюджетных источников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10.1. Показатель "Снижение объема потерь тепловой энергии в сетях" определяется по следующей формуле: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Р = 100 - Пс / Пп * 100,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Р - показатель, отражающий снижение потерь тепловой энергии в сетях;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Пс - показатель, отражающий потери тепловой энергии в сетях за соответствующий период;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Пп - показатель, отражающий потери тепловой энергии в сетях за соответствующий период.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10.2. Показатель "Снижение удельного расхода газа на выработку тепловой энергии" определяется по следующей формуле:</w:t>
      </w:r>
      <w:bookmarkStart w:id="33" w:name="sub_30115"/>
      <w:bookmarkEnd w:id="33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N = 100 - Yc / Yп * 100, 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N - показатель, отражающий снижение удельного расхода газа на выработку тепловой энергии;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Yc - показатель, отражающий удельный расход газа за соответствующий период;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Yn - показатель, отражающий удельный расход газа за предыдущий период.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10.3. Показатель "Снижение удельного расхода электроэнергии на выработку тепловой энергии" определяется по следующей формуле:</w:t>
      </w:r>
      <w:bookmarkStart w:id="34" w:name="sub_30116"/>
      <w:bookmarkEnd w:id="34"/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98"/>
        <w:jc w:val="center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М= 100 - Vс / Vп * 100,где: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eastAsiaTheme="minorEastAsia" w:ascii="Times New Roman" w:hAnsi="Times New Roman"/>
          <w:color w:val="000000" w:themeColor="text1"/>
          <w:sz w:val="28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М - показатель, отражающий снижение удельного расхода электроэнергии на выработку тепловой энергии;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Vc - показатель, отражающий удельный расход электроэнергии за соответствующий период;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" w:cs="Times New Roman" w:eastAsiaTheme="minorEastAsia"/>
          <w:color w:val="000000" w:themeColor="text1"/>
          <w:sz w:val="28"/>
          <w:szCs w:val="24"/>
          <w:lang w:eastAsia="ru-RU"/>
        </w:rPr>
      </w:pPr>
      <w:r>
        <w:rPr>
          <w:rFonts w:eastAsia="" w:cs="Times New Roman" w:ascii="Times New Roman" w:hAnsi="Times New Roman" w:eastAsiaTheme="minorEastAsia"/>
          <w:color w:val="000000" w:themeColor="text1"/>
          <w:sz w:val="28"/>
          <w:szCs w:val="24"/>
          <w:lang w:eastAsia="ru-RU"/>
        </w:rPr>
        <w:t>Vn - показатель, отражающий удельный расход электроэнергии за предыдущий период.</w:t>
      </w:r>
    </w:p>
    <w:sectPr>
      <w:type w:val="nextPage"/>
      <w:pgSz w:w="11906" w:h="16838"/>
      <w:pgMar w:left="1701" w:right="851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16e4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Схема документа Знак"/>
    <w:basedOn w:val="DefaultParagraphFont"/>
    <w:link w:val="a4"/>
    <w:uiPriority w:val="99"/>
    <w:semiHidden/>
    <w:qFormat/>
    <w:rsid w:val="00b16e44"/>
    <w:rPr>
      <w:rFonts w:ascii="Tahoma" w:hAnsi="Tahoma" w:cs="Tahoma"/>
      <w:sz w:val="16"/>
      <w:szCs w:val="16"/>
    </w:rPr>
  </w:style>
  <w:style w:type="character" w:styleId="Style14" w:customStyle="1">
    <w:name w:val="Текст выноски Знак"/>
    <w:basedOn w:val="DefaultParagraphFont"/>
    <w:link w:val="a7"/>
    <w:uiPriority w:val="99"/>
    <w:semiHidden/>
    <w:qFormat/>
    <w:rsid w:val="00922d12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b16e44"/>
    <w:pPr>
      <w:spacing w:before="0" w:after="200"/>
      <w:ind w:left="720" w:hanging="0"/>
      <w:contextualSpacing/>
    </w:pPr>
    <w:rPr/>
  </w:style>
  <w:style w:type="paragraph" w:styleId="DocumentMap">
    <w:name w:val="Document Map"/>
    <w:basedOn w:val="Normal"/>
    <w:link w:val="a5"/>
    <w:uiPriority w:val="99"/>
    <w:semiHidden/>
    <w:unhideWhenUsed/>
    <w:qFormat/>
    <w:rsid w:val="00b16e4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c0492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922d1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nternet.garant.ru/document/redirect/72727218/2000" TargetMode="External"/><Relationship Id="rId3" Type="http://schemas.openxmlformats.org/officeDocument/2006/relationships/hyperlink" Target="http://internet.garant.ru/document/redirect/71133762/1000" TargetMode="External"/><Relationship Id="rId4" Type="http://schemas.openxmlformats.org/officeDocument/2006/relationships/hyperlink" Target="http://internet.garant.ru/document/redirect/71133762/0" TargetMode="External"/><Relationship Id="rId5" Type="http://schemas.openxmlformats.org/officeDocument/2006/relationships/hyperlink" Target="http://internet.garant.ru/document/redirect/185656/0" TargetMode="External"/><Relationship Id="rId6" Type="http://schemas.openxmlformats.org/officeDocument/2006/relationships/hyperlink" Target="http://internet.garant.ru/document/redirect/187740/4000" TargetMode="External"/><Relationship Id="rId7" Type="http://schemas.openxmlformats.org/officeDocument/2006/relationships/hyperlink" Target="http://internet.garant.ru/document/redirect/187740/0" TargetMode="External"/><Relationship Id="rId8" Type="http://schemas.openxmlformats.org/officeDocument/2006/relationships/hyperlink" Target="http://internet.garant.ru/document/redirect/70246150/0" TargetMode="External"/><Relationship Id="rId9" Type="http://schemas.openxmlformats.org/officeDocument/2006/relationships/hyperlink" Target="http://internet.garant.ru/document/redirect/70119304/0" TargetMode="External"/><Relationship Id="rId10" Type="http://schemas.openxmlformats.org/officeDocument/2006/relationships/hyperlink" Target="http://internet.garant.ru/document/redirect/71792554/1000" TargetMode="External"/><Relationship Id="rId11" Type="http://schemas.openxmlformats.org/officeDocument/2006/relationships/hyperlink" Target="http://internet.garant.ru/document/redirect/71792554/0" TargetMode="External"/><Relationship Id="rId12" Type="http://schemas.openxmlformats.org/officeDocument/2006/relationships/hyperlink" Target="http://internet.garant.ru/document/redirect/186671/1000" TargetMode="External"/><Relationship Id="rId13" Type="http://schemas.openxmlformats.org/officeDocument/2006/relationships/hyperlink" Target="http://internet.garant.ru/document/redirect/186671/0" TargetMode="External"/><Relationship Id="rId14" Type="http://schemas.openxmlformats.org/officeDocument/2006/relationships/hyperlink" Target="http://internet.garant.ru/document/redirect/24315145/10000" TargetMode="External"/><Relationship Id="rId15" Type="http://schemas.openxmlformats.org/officeDocument/2006/relationships/hyperlink" Target="http://internet.garant.ru/document/redirect/24315145/10000" TargetMode="External"/><Relationship Id="rId16" Type="http://schemas.openxmlformats.org/officeDocument/2006/relationships/hyperlink" Target="http://internet.garant.ru/document/redirect/24315145/10000" TargetMode="External"/><Relationship Id="rId17" Type="http://schemas.openxmlformats.org/officeDocument/2006/relationships/hyperlink" Target="http://internet.garant.ru/document/redirect/42565214/1000" TargetMode="External"/><Relationship Id="rId18" Type="http://schemas.openxmlformats.org/officeDocument/2006/relationships/image" Target="media/image1.wmf"/><Relationship Id="rId19" Type="http://schemas.openxmlformats.org/officeDocument/2006/relationships/hyperlink" Target="http://internet.garant.ru/document/redirect/12119421/2000" TargetMode="External"/><Relationship Id="rId20" Type="http://schemas.openxmlformats.org/officeDocument/2006/relationships/hyperlink" Target="http://internet.garant.ru/document/redirect/12119421/2000" TargetMode="External"/><Relationship Id="rId21" Type="http://schemas.openxmlformats.org/officeDocument/2006/relationships/hyperlink" Target="http://internet.garant.ru/document/redirect/12119421/2000" TargetMode="External"/><Relationship Id="rId22" Type="http://schemas.openxmlformats.org/officeDocument/2006/relationships/hyperlink" Target="http://internet.garant.ru/document/redirect/12119421/2000" TargetMode="External"/><Relationship Id="rId23" Type="http://schemas.openxmlformats.org/officeDocument/2006/relationships/hyperlink" Target="http://internet.garant.ru/document/redirect/12119421/2000" TargetMode="External"/><Relationship Id="rId24" Type="http://schemas.openxmlformats.org/officeDocument/2006/relationships/hyperlink" Target="http://internet.garant.ru/document/redirect/70111676/4" TargetMode="External"/><Relationship Id="rId25" Type="http://schemas.openxmlformats.org/officeDocument/2006/relationships/hyperlink" Target="http://internet.garant.ru/document/redirect/70111676/4" TargetMode="External"/><Relationship Id="rId26" Type="http://schemas.openxmlformats.org/officeDocument/2006/relationships/hyperlink" Target="http://internet.garant.ru/document/redirect/70111676/4" TargetMode="External"/><Relationship Id="rId27" Type="http://schemas.openxmlformats.org/officeDocument/2006/relationships/hyperlink" Target="http://internet.garant.ru/document/redirect/70111676/4" TargetMode="External"/><Relationship Id="rId28" Type="http://schemas.openxmlformats.org/officeDocument/2006/relationships/hyperlink" Target="http://internet.garant.ru/document/redirect/24399799/490" TargetMode="External"/><Relationship Id="rId29" Type="http://schemas.openxmlformats.org/officeDocument/2006/relationships/numbering" Target="numbering.xml"/><Relationship Id="rId30" Type="http://schemas.openxmlformats.org/officeDocument/2006/relationships/fontTable" Target="fontTable.xml"/><Relationship Id="rId31" Type="http://schemas.openxmlformats.org/officeDocument/2006/relationships/settings" Target="settings.xml"/><Relationship Id="rId32" Type="http://schemas.openxmlformats.org/officeDocument/2006/relationships/theme" Target="theme/theme1.xml"/><Relationship Id="rId3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AF2D8-48E9-43D1-8A6B-D10F8E75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Application>LibreOffice/7.0.1.2$Windows_X86_64 LibreOffice_project/7cbcfc562f6eb6708b5ff7d7397325de9e764452</Application>
  <Pages>11</Pages>
  <Words>2535</Words>
  <Characters>18310</Characters>
  <CharactersWithSpaces>20722</CharactersWithSpaces>
  <Paragraphs>143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2021-10-21T07:45:00Z</dcterms:created>
  <dc:creator>User</dc:creator>
  <dc:description/>
  <dc:language>ru-RU</dc:language>
  <cp:lastModifiedBy/>
  <dcterms:modified xsi:type="dcterms:W3CDTF">2022-10-26T11:41:02Z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